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F87" w14:textId="77777777" w:rsidR="0020274D" w:rsidRDefault="006B47BF" w:rsidP="00FE2C66">
      <w:pPr>
        <w:spacing w:line="240" w:lineRule="auto"/>
        <w:jc w:val="center"/>
        <w:rPr>
          <w:rFonts w:ascii="Times New Roman" w:hAnsi="Times New Roman" w:cs="Times New Roman"/>
          <w:b/>
          <w:sz w:val="28"/>
          <w:szCs w:val="28"/>
        </w:rPr>
      </w:pPr>
      <w:r w:rsidRPr="009749D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31912F" wp14:editId="299B6688">
                <wp:simplePos x="0" y="0"/>
                <wp:positionH relativeFrom="column">
                  <wp:posOffset>2120265</wp:posOffset>
                </wp:positionH>
                <wp:positionV relativeFrom="paragraph">
                  <wp:posOffset>293370</wp:posOffset>
                </wp:positionV>
                <wp:extent cx="1714500" cy="0"/>
                <wp:effectExtent l="0" t="0" r="19050" b="1905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553B" id="Line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23.1pt" to="301.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"/>
            </w:pict>
          </mc:Fallback>
        </mc:AlternateContent>
      </w:r>
      <w:r w:rsidRPr="009749D4">
        <w:rPr>
          <w:rFonts w:ascii="Times New Roman" w:hAnsi="Times New Roman" w:cs="Times New Roman"/>
          <w:b/>
          <w:sz w:val="28"/>
          <w:szCs w:val="28"/>
        </w:rPr>
        <w:t>BẢNG MÔ TẢ CHI TIẾT TÀI SẢN</w:t>
      </w:r>
    </w:p>
    <w:p w14:paraId="7CD3FD56" w14:textId="2CFA983D" w:rsidR="00A82219" w:rsidRPr="009749D4" w:rsidRDefault="00A82219" w:rsidP="00FE2C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(vụ: Phan Thành Dinh)</w:t>
      </w:r>
    </w:p>
    <w:p w14:paraId="75E93CBF" w14:textId="77777777" w:rsidR="006B47BF" w:rsidRPr="009749D4" w:rsidRDefault="006B47BF" w:rsidP="00FE2C66">
      <w:pPr>
        <w:spacing w:line="240" w:lineRule="auto"/>
        <w:ind w:firstLine="720"/>
        <w:jc w:val="both"/>
        <w:rPr>
          <w:rFonts w:ascii="Times New Roman" w:hAnsi="Times New Roman" w:cs="Times New Roman"/>
          <w:sz w:val="28"/>
          <w:szCs w:val="28"/>
        </w:rPr>
      </w:pPr>
    </w:p>
    <w:p w14:paraId="02893575" w14:textId="776ED847" w:rsidR="00AA728D" w:rsidRPr="00C06E93" w:rsidRDefault="00FE2C66" w:rsidP="00A4613C">
      <w:pPr>
        <w:spacing w:before="60" w:after="60" w:line="240" w:lineRule="auto"/>
        <w:jc w:val="both"/>
        <w:rPr>
          <w:rFonts w:ascii="Times New Roman" w:hAnsi="Times New Roman" w:cs="Times New Roman"/>
          <w:sz w:val="28"/>
          <w:szCs w:val="28"/>
        </w:rPr>
      </w:pPr>
      <w:r w:rsidRPr="009749D4">
        <w:rPr>
          <w:rFonts w:ascii="Times New Roman" w:hAnsi="Times New Roman" w:cs="Times New Roman"/>
          <w:b/>
          <w:sz w:val="28"/>
          <w:szCs w:val="28"/>
        </w:rPr>
        <w:tab/>
        <w:t xml:space="preserve">* Tài sản: </w:t>
      </w:r>
      <w:r w:rsidR="00AA728D" w:rsidRPr="00C06E93">
        <w:rPr>
          <w:rFonts w:ascii="Times New Roman" w:hAnsi="Times New Roman" w:cs="Times New Roman"/>
          <w:iCs/>
          <w:color w:val="000000" w:themeColor="text1"/>
          <w:sz w:val="28"/>
          <w:szCs w:val="28"/>
        </w:rPr>
        <w:t>Quyền sử dụng 115,3 m</w:t>
      </w:r>
      <w:r w:rsidR="00AA728D" w:rsidRPr="00C06E93">
        <w:rPr>
          <w:rFonts w:ascii="Times New Roman" w:hAnsi="Times New Roman" w:cs="Times New Roman"/>
          <w:iCs/>
          <w:color w:val="000000" w:themeColor="text1"/>
          <w:sz w:val="28"/>
          <w:szCs w:val="28"/>
          <w:vertAlign w:val="superscript"/>
        </w:rPr>
        <w:t>2</w:t>
      </w:r>
      <w:r w:rsidR="00AA728D" w:rsidRPr="00C06E93">
        <w:rPr>
          <w:rFonts w:ascii="Times New Roman" w:hAnsi="Times New Roman" w:cs="Times New Roman"/>
          <w:iCs/>
          <w:color w:val="000000" w:themeColor="text1"/>
          <w:sz w:val="28"/>
          <w:szCs w:val="28"/>
        </w:rPr>
        <w:t xml:space="preserve"> đất và nhà ở trên đất (thửa đất số 546, tờ bản đồ số 4), tại địa chỉ: 59/5P </w:t>
      </w:r>
      <w:r w:rsidR="007F5CF2" w:rsidRPr="00C06E93">
        <w:rPr>
          <w:rFonts w:ascii="Times New Roman" w:hAnsi="Times New Roman" w:cs="Times New Roman"/>
          <w:iCs/>
          <w:color w:val="000000" w:themeColor="text1"/>
          <w:sz w:val="28"/>
          <w:szCs w:val="28"/>
        </w:rPr>
        <w:t xml:space="preserve">ấp 36, </w:t>
      </w:r>
      <w:r w:rsidR="00AA728D" w:rsidRPr="00C06E93">
        <w:rPr>
          <w:rFonts w:ascii="Times New Roman" w:hAnsi="Times New Roman" w:cs="Times New Roman"/>
          <w:iCs/>
          <w:color w:val="000000" w:themeColor="text1"/>
          <w:sz w:val="28"/>
          <w:szCs w:val="28"/>
        </w:rPr>
        <w:t>xã Hóc Môn (trước đây là ấp Chánh 1, xã Tân Xuân, huyện Hóc Môn), Thành phố Hồ Chí Minh theo Giấy chứng nhận Quyền sử dụng đất, quyền sở hữu nhà ở và tài sản khác gắn liền với đất số CG 988377, số vào sổ cấp giấy CN: CS 01201 do Sở Tài nguyên và Môi trường TP. Hồ Chí Minh cấp ngày 17/3/2017, chủ sở hữu ông Phan Thành Dinh, cụ thể:</w:t>
      </w:r>
    </w:p>
    <w:p w14:paraId="2FD276FB" w14:textId="60EA0D71" w:rsidR="00713068" w:rsidRPr="00C06E93" w:rsidRDefault="00713068" w:rsidP="00A4613C">
      <w:pPr>
        <w:spacing w:before="60" w:after="60" w:line="240" w:lineRule="auto"/>
        <w:jc w:val="both"/>
        <w:rPr>
          <w:rFonts w:ascii="Times New Roman" w:hAnsi="Times New Roman" w:cs="Times New Roman"/>
          <w:b/>
          <w:sz w:val="28"/>
          <w:szCs w:val="28"/>
        </w:rPr>
      </w:pPr>
      <w:r w:rsidRPr="00C06E93">
        <w:rPr>
          <w:rFonts w:ascii="Times New Roman" w:hAnsi="Times New Roman" w:cs="Times New Roman"/>
          <w:sz w:val="28"/>
          <w:szCs w:val="28"/>
        </w:rPr>
        <w:tab/>
      </w:r>
      <w:r w:rsidR="00AA728D" w:rsidRPr="00C06E93">
        <w:rPr>
          <w:rFonts w:ascii="Times New Roman" w:hAnsi="Times New Roman" w:cs="Times New Roman"/>
          <w:bCs/>
          <w:sz w:val="28"/>
          <w:szCs w:val="28"/>
        </w:rPr>
        <w:t xml:space="preserve">* </w:t>
      </w:r>
      <w:r w:rsidR="00AA728D" w:rsidRPr="00C06E93">
        <w:rPr>
          <w:rFonts w:ascii="Times New Roman" w:hAnsi="Times New Roman" w:cs="Times New Roman"/>
          <w:b/>
          <w:i/>
          <w:iCs/>
          <w:sz w:val="28"/>
          <w:szCs w:val="28"/>
          <w:u w:val="single"/>
        </w:rPr>
        <w:t>Đất ở</w:t>
      </w:r>
      <w:r w:rsidR="00AA728D" w:rsidRPr="00C06E93">
        <w:rPr>
          <w:rFonts w:ascii="Times New Roman" w:hAnsi="Times New Roman" w:cs="Times New Roman"/>
          <w:b/>
          <w:i/>
          <w:iCs/>
          <w:sz w:val="28"/>
          <w:szCs w:val="28"/>
        </w:rPr>
        <w:t>:</w:t>
      </w:r>
    </w:p>
    <w:p w14:paraId="7BD4E561" w14:textId="77777777" w:rsidR="00AA728D" w:rsidRPr="00C06E93" w:rsidRDefault="00AA728D" w:rsidP="00AA728D">
      <w:pPr>
        <w:pStyle w:val="BodyTextIndent"/>
        <w:spacing w:before="40"/>
        <w:ind w:left="0" w:firstLine="720"/>
        <w:jc w:val="both"/>
        <w:rPr>
          <w:sz w:val="28"/>
          <w:szCs w:val="28"/>
        </w:rPr>
      </w:pPr>
      <w:r w:rsidRPr="00C06E93">
        <w:rPr>
          <w:sz w:val="28"/>
          <w:szCs w:val="28"/>
        </w:rPr>
        <w:t>- Thuộc thửa đất số: 546;</w:t>
      </w:r>
      <w:r w:rsidRPr="00C06E93">
        <w:rPr>
          <w:sz w:val="28"/>
          <w:szCs w:val="28"/>
        </w:rPr>
        <w:tab/>
      </w:r>
      <w:r w:rsidRPr="00C06E93">
        <w:rPr>
          <w:sz w:val="28"/>
          <w:szCs w:val="28"/>
        </w:rPr>
        <w:tab/>
      </w:r>
      <w:r w:rsidRPr="00C06E93">
        <w:rPr>
          <w:sz w:val="28"/>
          <w:szCs w:val="28"/>
        </w:rPr>
        <w:tab/>
        <w:t>- Tờ bản đồ số: 4.</w:t>
      </w:r>
    </w:p>
    <w:p w14:paraId="3170A204" w14:textId="2AFBE9BA" w:rsidR="00AA728D" w:rsidRPr="00C06E93" w:rsidRDefault="00AA728D" w:rsidP="00AA728D">
      <w:pPr>
        <w:pStyle w:val="BodyTextIndent"/>
        <w:spacing w:before="40"/>
        <w:ind w:left="0" w:firstLine="720"/>
        <w:jc w:val="both"/>
        <w:rPr>
          <w:sz w:val="28"/>
          <w:szCs w:val="28"/>
        </w:rPr>
      </w:pPr>
      <w:r w:rsidRPr="00C06E93">
        <w:rPr>
          <w:sz w:val="28"/>
          <w:szCs w:val="28"/>
        </w:rPr>
        <w:t xml:space="preserve">- Địa chỉ: 59/5P </w:t>
      </w:r>
      <w:r w:rsidR="007F5CF2" w:rsidRPr="00C06E93">
        <w:rPr>
          <w:sz w:val="28"/>
          <w:szCs w:val="28"/>
        </w:rPr>
        <w:t xml:space="preserve">ấp 36, </w:t>
      </w:r>
      <w:r w:rsidRPr="00C06E93">
        <w:rPr>
          <w:sz w:val="28"/>
          <w:szCs w:val="28"/>
        </w:rPr>
        <w:t>xã Hóc Môn (trước đây là ấp Chánh 1, xã Tân Xuân, huyện Hóc Môn), Thành phố Hồ Chí Minh.</w:t>
      </w:r>
    </w:p>
    <w:p w14:paraId="49043CF5" w14:textId="77777777" w:rsidR="00AA728D" w:rsidRPr="00C06E93" w:rsidRDefault="00AA728D" w:rsidP="00AA728D">
      <w:pPr>
        <w:pStyle w:val="BodyTextIndent"/>
        <w:spacing w:before="40"/>
        <w:ind w:left="720" w:firstLine="0"/>
        <w:jc w:val="both"/>
        <w:rPr>
          <w:sz w:val="28"/>
          <w:szCs w:val="28"/>
        </w:rPr>
      </w:pPr>
      <w:r w:rsidRPr="00C06E93">
        <w:rPr>
          <w:sz w:val="28"/>
          <w:szCs w:val="28"/>
        </w:rPr>
        <w:t>- Diện tích: 115,3 m</w:t>
      </w:r>
      <w:r w:rsidRPr="00C06E93">
        <w:rPr>
          <w:sz w:val="28"/>
          <w:szCs w:val="28"/>
          <w:vertAlign w:val="superscript"/>
        </w:rPr>
        <w:t>2</w:t>
      </w:r>
      <w:r w:rsidRPr="00C06E93">
        <w:rPr>
          <w:sz w:val="28"/>
          <w:szCs w:val="28"/>
        </w:rPr>
        <w:t>.</w:t>
      </w:r>
    </w:p>
    <w:p w14:paraId="42A3641C" w14:textId="77777777" w:rsidR="00AA728D" w:rsidRPr="00C06E93" w:rsidRDefault="00AA728D" w:rsidP="00AA728D">
      <w:pPr>
        <w:pStyle w:val="BodyTextIndent"/>
        <w:spacing w:before="40"/>
        <w:ind w:left="720" w:firstLine="0"/>
        <w:jc w:val="both"/>
        <w:rPr>
          <w:sz w:val="28"/>
          <w:szCs w:val="28"/>
        </w:rPr>
      </w:pPr>
      <w:r w:rsidRPr="00C06E93">
        <w:rPr>
          <w:sz w:val="28"/>
          <w:szCs w:val="28"/>
        </w:rPr>
        <w:t>- Hình thức sử dụng: Đất ở tại đô thị.</w:t>
      </w:r>
    </w:p>
    <w:p w14:paraId="11446F99" w14:textId="77777777" w:rsidR="00AA728D" w:rsidRPr="00C06E93" w:rsidRDefault="00AA728D" w:rsidP="00AA728D">
      <w:pPr>
        <w:pStyle w:val="BodyTextIndent"/>
        <w:spacing w:before="40"/>
        <w:ind w:left="720" w:firstLine="0"/>
        <w:jc w:val="both"/>
        <w:rPr>
          <w:sz w:val="28"/>
          <w:szCs w:val="28"/>
        </w:rPr>
      </w:pPr>
      <w:r w:rsidRPr="00C06E93">
        <w:rPr>
          <w:sz w:val="28"/>
          <w:szCs w:val="28"/>
        </w:rPr>
        <w:t>- Thời hạn sử dụng: Lâu dài.</w:t>
      </w:r>
    </w:p>
    <w:p w14:paraId="29D92F7D" w14:textId="77777777" w:rsidR="00AA728D" w:rsidRPr="00C06E93" w:rsidRDefault="00AA728D" w:rsidP="00AA728D">
      <w:pPr>
        <w:pStyle w:val="BodyTextIndent"/>
        <w:spacing w:before="40"/>
        <w:ind w:left="720" w:firstLine="0"/>
        <w:jc w:val="both"/>
        <w:rPr>
          <w:sz w:val="28"/>
          <w:szCs w:val="28"/>
        </w:rPr>
      </w:pPr>
      <w:r w:rsidRPr="00C06E93">
        <w:rPr>
          <w:sz w:val="28"/>
          <w:szCs w:val="28"/>
        </w:rPr>
        <w:t xml:space="preserve">* </w:t>
      </w:r>
      <w:r w:rsidRPr="00C06E93">
        <w:rPr>
          <w:b/>
          <w:bCs/>
          <w:i/>
          <w:iCs/>
          <w:sz w:val="28"/>
          <w:szCs w:val="28"/>
          <w:u w:val="single"/>
        </w:rPr>
        <w:t>Nhà ở</w:t>
      </w:r>
      <w:r w:rsidRPr="00C06E93">
        <w:rPr>
          <w:b/>
          <w:bCs/>
          <w:i/>
          <w:iCs/>
          <w:sz w:val="28"/>
          <w:szCs w:val="28"/>
        </w:rPr>
        <w:t>:</w:t>
      </w:r>
      <w:r w:rsidRPr="00C06E93">
        <w:rPr>
          <w:sz w:val="28"/>
          <w:szCs w:val="28"/>
        </w:rPr>
        <w:t xml:space="preserve"> </w:t>
      </w:r>
    </w:p>
    <w:p w14:paraId="0BFF9DD6" w14:textId="77777777" w:rsidR="00AA728D" w:rsidRPr="00C06E93" w:rsidRDefault="00AA728D" w:rsidP="00AA728D">
      <w:pPr>
        <w:pStyle w:val="BodyTextIndent"/>
        <w:spacing w:before="40"/>
        <w:ind w:left="0" w:firstLine="720"/>
        <w:jc w:val="both"/>
        <w:rPr>
          <w:sz w:val="28"/>
          <w:szCs w:val="28"/>
        </w:rPr>
      </w:pPr>
      <w:r w:rsidRPr="00C06E93">
        <w:rPr>
          <w:sz w:val="28"/>
          <w:szCs w:val="28"/>
        </w:rPr>
        <w:t xml:space="preserve"> - Địa chỉ: Nhà ở riêng lẻ.</w:t>
      </w:r>
    </w:p>
    <w:p w14:paraId="6856E2E5" w14:textId="77777777" w:rsidR="00AA728D" w:rsidRPr="00C06E93" w:rsidRDefault="00AA728D" w:rsidP="00AA728D">
      <w:pPr>
        <w:pStyle w:val="BodyTextIndent"/>
        <w:spacing w:before="40"/>
        <w:ind w:left="0" w:firstLine="720"/>
        <w:jc w:val="both"/>
        <w:rPr>
          <w:sz w:val="28"/>
          <w:szCs w:val="28"/>
        </w:rPr>
      </w:pPr>
      <w:r w:rsidRPr="00C06E93">
        <w:rPr>
          <w:sz w:val="28"/>
          <w:szCs w:val="28"/>
        </w:rPr>
        <w:t>- Kết cấu: Tường gạch, sàn BTCT, mái BTCT, mái tôn.</w:t>
      </w:r>
    </w:p>
    <w:p w14:paraId="684B6852" w14:textId="77777777" w:rsidR="00AA728D" w:rsidRPr="00C06E93" w:rsidRDefault="00AA728D" w:rsidP="00AA728D">
      <w:pPr>
        <w:pStyle w:val="BodyTextIndent"/>
        <w:spacing w:before="40"/>
        <w:ind w:left="0" w:firstLine="720"/>
        <w:jc w:val="both"/>
        <w:rPr>
          <w:sz w:val="28"/>
          <w:szCs w:val="28"/>
        </w:rPr>
      </w:pPr>
      <w:r w:rsidRPr="00C06E93">
        <w:rPr>
          <w:sz w:val="28"/>
          <w:szCs w:val="28"/>
        </w:rPr>
        <w:t>- Diện tích xây dựng: 79,1 m</w:t>
      </w:r>
      <w:r w:rsidRPr="00C06E93">
        <w:rPr>
          <w:sz w:val="28"/>
          <w:szCs w:val="28"/>
          <w:vertAlign w:val="superscript"/>
        </w:rPr>
        <w:t>2</w:t>
      </w:r>
      <w:r w:rsidRPr="00C06E93">
        <w:rPr>
          <w:sz w:val="28"/>
          <w:szCs w:val="28"/>
        </w:rPr>
        <w:t>.</w:t>
      </w:r>
    </w:p>
    <w:p w14:paraId="2FEDF8AB" w14:textId="77777777" w:rsidR="00AA728D" w:rsidRPr="00C06E93" w:rsidRDefault="00AA728D" w:rsidP="00AA728D">
      <w:pPr>
        <w:pStyle w:val="BodyTextIndent"/>
        <w:spacing w:before="40"/>
        <w:ind w:left="0" w:firstLine="720"/>
        <w:jc w:val="both"/>
        <w:rPr>
          <w:sz w:val="28"/>
          <w:szCs w:val="28"/>
        </w:rPr>
      </w:pPr>
      <w:r w:rsidRPr="00C06E93">
        <w:rPr>
          <w:sz w:val="28"/>
          <w:szCs w:val="28"/>
        </w:rPr>
        <w:t>- Diện tích sàn: 141,4 m</w:t>
      </w:r>
      <w:r w:rsidRPr="00C06E93">
        <w:rPr>
          <w:sz w:val="28"/>
          <w:szCs w:val="28"/>
          <w:vertAlign w:val="superscript"/>
        </w:rPr>
        <w:t>2</w:t>
      </w:r>
      <w:r w:rsidRPr="00C06E93">
        <w:rPr>
          <w:sz w:val="28"/>
          <w:szCs w:val="28"/>
        </w:rPr>
        <w:t>.</w:t>
      </w:r>
    </w:p>
    <w:p w14:paraId="57697AA8" w14:textId="77777777" w:rsidR="00AA728D" w:rsidRPr="00C06E93" w:rsidRDefault="00AA728D" w:rsidP="00AA728D">
      <w:pPr>
        <w:pStyle w:val="BodyTextIndent"/>
        <w:spacing w:before="40"/>
        <w:ind w:left="0" w:firstLine="720"/>
        <w:jc w:val="both"/>
        <w:rPr>
          <w:b/>
          <w:sz w:val="28"/>
          <w:szCs w:val="28"/>
        </w:rPr>
      </w:pPr>
      <w:r w:rsidRPr="00C06E93">
        <w:rPr>
          <w:sz w:val="28"/>
          <w:szCs w:val="28"/>
        </w:rPr>
        <w:t>- Kết cấu: Tường gạch, sàn BTCT, mái BTCT + tôn.</w:t>
      </w:r>
    </w:p>
    <w:p w14:paraId="654D2A69" w14:textId="04936443" w:rsidR="00A4613C" w:rsidRPr="00C06E93" w:rsidRDefault="00AA728D" w:rsidP="00AA728D">
      <w:pPr>
        <w:pStyle w:val="BodyTextIndent"/>
        <w:spacing w:before="60" w:after="60"/>
        <w:ind w:left="0" w:firstLine="720"/>
        <w:jc w:val="both"/>
        <w:rPr>
          <w:sz w:val="28"/>
          <w:szCs w:val="28"/>
        </w:rPr>
      </w:pPr>
      <w:r w:rsidRPr="00C06E93">
        <w:rPr>
          <w:sz w:val="28"/>
          <w:szCs w:val="28"/>
        </w:rPr>
        <w:t>- Số tầng: 02 tầng.</w:t>
      </w:r>
    </w:p>
    <w:p w14:paraId="5C60D9C8" w14:textId="77777777" w:rsidR="00A4613C" w:rsidRPr="00C06E93" w:rsidRDefault="00A4613C" w:rsidP="00A4613C">
      <w:pPr>
        <w:pStyle w:val="BodyTextIndent"/>
        <w:spacing w:before="60" w:after="60"/>
        <w:ind w:left="0" w:firstLine="720"/>
        <w:jc w:val="both"/>
        <w:rPr>
          <w:b/>
          <w:bCs/>
          <w:i/>
          <w:iCs/>
          <w:sz w:val="28"/>
          <w:szCs w:val="28"/>
        </w:rPr>
      </w:pPr>
      <w:r w:rsidRPr="00C06E93">
        <w:rPr>
          <w:b/>
          <w:bCs/>
          <w:i/>
          <w:iCs/>
          <w:sz w:val="28"/>
          <w:szCs w:val="28"/>
        </w:rPr>
        <w:t xml:space="preserve">* </w:t>
      </w:r>
      <w:r w:rsidRPr="00C06E93">
        <w:rPr>
          <w:b/>
          <w:bCs/>
          <w:i/>
          <w:iCs/>
          <w:sz w:val="28"/>
          <w:szCs w:val="28"/>
          <w:u w:val="single"/>
        </w:rPr>
        <w:t>Thông tin quy hoạch</w:t>
      </w:r>
      <w:r w:rsidRPr="00C06E93">
        <w:rPr>
          <w:b/>
          <w:bCs/>
          <w:i/>
          <w:iCs/>
          <w:sz w:val="28"/>
          <w:szCs w:val="28"/>
        </w:rPr>
        <w:t>:</w:t>
      </w:r>
    </w:p>
    <w:p w14:paraId="34C21878" w14:textId="4619A943" w:rsidR="00FE2C66" w:rsidRPr="00C06E93" w:rsidRDefault="00AA728D" w:rsidP="00AA728D">
      <w:pPr>
        <w:spacing w:before="60" w:after="60" w:line="240" w:lineRule="auto"/>
        <w:ind w:firstLine="720"/>
        <w:jc w:val="both"/>
        <w:rPr>
          <w:rFonts w:ascii="Times New Roman" w:hAnsi="Times New Roman" w:cs="Times New Roman"/>
          <w:sz w:val="28"/>
          <w:szCs w:val="28"/>
        </w:rPr>
      </w:pPr>
      <w:r w:rsidRPr="00C06E93">
        <w:rPr>
          <w:rFonts w:ascii="Times New Roman" w:hAnsi="Times New Roman" w:cs="Times New Roman"/>
          <w:sz w:val="28"/>
          <w:szCs w:val="28"/>
        </w:rPr>
        <w:t>Theo Công văn số 156/KTHT&amp;ĐT ngày 14/3/2025 của Phòng Kinh tế hạ tầng và Đô thị huyện Hóc Môn, Thành phố Hồ Chí Minh về việc cung cấp thông tin quy hoạch đối với thửa đất số 546, tờ bản đồ số 04 (tài liệu 2005), xã Tân Xuân: “…khu đất nêu trên thuộc ô phố I.11 có chức năng quy hoạch đất nhóm nhà ở hiện hữu ổn định, cải tạo, chỉnh trang; đường (hẻm) H(Đ)-TX-17 lộ giới 6m”.</w:t>
      </w:r>
    </w:p>
    <w:sectPr w:rsidR="00FE2C66" w:rsidRPr="00C06E93" w:rsidSect="00FE6678">
      <w:pgSz w:w="12240" w:h="15840"/>
      <w:pgMar w:top="1134"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88"/>
    <w:multiLevelType w:val="hybridMultilevel"/>
    <w:tmpl w:val="34F2A8FC"/>
    <w:lvl w:ilvl="0" w:tplc="1D40A13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BC1E11"/>
    <w:multiLevelType w:val="hybridMultilevel"/>
    <w:tmpl w:val="484844A8"/>
    <w:lvl w:ilvl="0" w:tplc="4A7E3778">
      <w:numFmt w:val="bullet"/>
      <w:lvlText w:val=""/>
      <w:lvlJc w:val="left"/>
      <w:pPr>
        <w:ind w:left="1539" w:hanging="360"/>
      </w:pPr>
      <w:rPr>
        <w:rFonts w:ascii="Symbol" w:eastAsiaTheme="minorHAnsi"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1445810749">
    <w:abstractNumId w:val="1"/>
  </w:num>
  <w:num w:numId="2" w16cid:durableId="521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F"/>
    <w:rsid w:val="00043850"/>
    <w:rsid w:val="000907E6"/>
    <w:rsid w:val="00097361"/>
    <w:rsid w:val="001307B9"/>
    <w:rsid w:val="001C064D"/>
    <w:rsid w:val="0020274D"/>
    <w:rsid w:val="003C77AE"/>
    <w:rsid w:val="005E5171"/>
    <w:rsid w:val="005F5D6F"/>
    <w:rsid w:val="006B47BF"/>
    <w:rsid w:val="006D2D70"/>
    <w:rsid w:val="006E6803"/>
    <w:rsid w:val="00713068"/>
    <w:rsid w:val="00773C9E"/>
    <w:rsid w:val="00782552"/>
    <w:rsid w:val="007B7630"/>
    <w:rsid w:val="007F5CF2"/>
    <w:rsid w:val="00926FAF"/>
    <w:rsid w:val="00934367"/>
    <w:rsid w:val="009749D4"/>
    <w:rsid w:val="00A03A45"/>
    <w:rsid w:val="00A4613C"/>
    <w:rsid w:val="00A82219"/>
    <w:rsid w:val="00A95315"/>
    <w:rsid w:val="00AA26DD"/>
    <w:rsid w:val="00AA728D"/>
    <w:rsid w:val="00AB2138"/>
    <w:rsid w:val="00B84AC6"/>
    <w:rsid w:val="00C03081"/>
    <w:rsid w:val="00C06E93"/>
    <w:rsid w:val="00C70F12"/>
    <w:rsid w:val="00CE6548"/>
    <w:rsid w:val="00D05472"/>
    <w:rsid w:val="00E810C9"/>
    <w:rsid w:val="00EA31DD"/>
    <w:rsid w:val="00F52597"/>
    <w:rsid w:val="00F615A0"/>
    <w:rsid w:val="00FE2C66"/>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FC4"/>
  <w15:docId w15:val="{689F1959-4420-4F05-8496-F0A63FF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BF"/>
    <w:pPr>
      <w:ind w:left="720"/>
      <w:contextualSpacing/>
    </w:pPr>
  </w:style>
  <w:style w:type="paragraph" w:styleId="BodyTextIndent">
    <w:name w:val="Body Text Indent"/>
    <w:basedOn w:val="Normal"/>
    <w:link w:val="BodyTextIndentChar"/>
    <w:qFormat/>
    <w:rsid w:val="00A4613C"/>
    <w:pPr>
      <w:spacing w:after="0" w:line="240" w:lineRule="auto"/>
      <w:ind w:left="1134" w:firstLine="28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qFormat/>
    <w:rsid w:val="00A4613C"/>
    <w:rPr>
      <w:rFonts w:ascii="Times New Roman" w:eastAsia="Times New Roman" w:hAnsi="Times New Roman" w:cs="Times New Roman"/>
      <w:sz w:val="24"/>
      <w:szCs w:val="20"/>
    </w:rPr>
  </w:style>
  <w:style w:type="paragraph" w:styleId="BalloonText">
    <w:name w:val="Balloon Text"/>
    <w:basedOn w:val="Normal"/>
    <w:link w:val="BalloonTextChar"/>
    <w:rsid w:val="00AA72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A72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E5250-6053-40D3-B67D-956406147ED7}"/>
</file>

<file path=customXml/itemProps2.xml><?xml version="1.0" encoding="utf-8"?>
<ds:datastoreItem xmlns:ds="http://schemas.openxmlformats.org/officeDocument/2006/customXml" ds:itemID="{7957717C-3B2E-4AD2-856B-93C8FCB3E01A}"/>
</file>

<file path=customXml/itemProps3.xml><?xml version="1.0" encoding="utf-8"?>
<ds:datastoreItem xmlns:ds="http://schemas.openxmlformats.org/officeDocument/2006/customXml" ds:itemID="{94DB3F83-031E-4615-BD6C-B8E4CBFFCA16}"/>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vinhnp.hcm@moj.gov.vn</cp:lastModifiedBy>
  <cp:revision>9</cp:revision>
  <cp:lastPrinted>2024-10-24T01:42:00Z</cp:lastPrinted>
  <dcterms:created xsi:type="dcterms:W3CDTF">2025-07-14T07:22:00Z</dcterms:created>
  <dcterms:modified xsi:type="dcterms:W3CDTF">2026-01-29T07:09:00Z</dcterms:modified>
</cp:coreProperties>
</file>